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«Математика» 1 класс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Рабочая  программа по математике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для обучающихся 1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Примерной рабочей программы НОО Математика (для 1–4 классов образовательных организаций)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На основе авторской программы М. И. Моро, Ю. М. Колягина, М. А. Бантовой, Г. В. Бельтюковой, С. И. Волковой, С. В. Степановой «Математика» сборник «Примерные рабочие программы «Школа России». 1-4 класс. </w:t>
      </w:r>
    </w:p>
    <w:p>
      <w:pPr>
        <w:spacing w:after="0"/>
        <w:ind w:firstLine="36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Основными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целями</w:t>
      </w:r>
      <w:r>
        <w:rPr>
          <w:rFonts w:hint="default" w:ascii="Times New Roman" w:hAnsi="Times New Roman" w:eastAsia="Calibri" w:cs="Times New Roman"/>
          <w:sz w:val="24"/>
          <w:szCs w:val="24"/>
        </w:rPr>
        <w:t xml:space="preserve"> начального обучения математике являются:</w:t>
      </w:r>
    </w:p>
    <w:p>
      <w:pPr>
        <w:numPr>
          <w:ilvl w:val="0"/>
          <w:numId w:val="1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математическое развитие младших школьников.</w:t>
      </w:r>
    </w:p>
    <w:p>
      <w:pPr>
        <w:numPr>
          <w:ilvl w:val="0"/>
          <w:numId w:val="1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формирование системы начальных математических знаний.</w:t>
      </w:r>
    </w:p>
    <w:p>
      <w:pPr>
        <w:numPr>
          <w:ilvl w:val="0"/>
          <w:numId w:val="1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воспитание интереса к математике, к умственной деятельности.</w:t>
      </w:r>
    </w:p>
    <w:p>
      <w:pPr>
        <w:spacing w:after="0"/>
        <w:ind w:firstLine="36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Программа определяет ряд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задач</w:t>
      </w:r>
      <w:r>
        <w:rPr>
          <w:rFonts w:hint="default" w:ascii="Times New Roman" w:hAnsi="Times New Roman" w:eastAsia="Calibri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развитие пространственного воображения;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развитие математической речи;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формирование умения вести поиск информации и работать с ней;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развитие познавательных способностей;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воспитание стремления к расширению математических знаний;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формирование критичности мышления;</w:t>
      </w:r>
    </w:p>
    <w:p>
      <w:pPr>
        <w:numPr>
          <w:ilvl w:val="0"/>
          <w:numId w:val="2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>
      <w:pPr>
        <w:spacing w:after="0"/>
        <w:ind w:firstLine="36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>
      <w:pPr>
        <w:spacing w:after="0"/>
        <w:ind w:firstLine="36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В программе отражается реализация воспитательного потенциала урока математики,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>
      <w:pPr>
        <w:numPr>
          <w:ilvl w:val="0"/>
          <w:numId w:val="3"/>
        </w:numPr>
        <w:spacing w:after="0"/>
        <w:ind w:left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>
      <w:pPr>
        <w:spacing w:after="0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Для реализации используется следующий учебно-методический</w:t>
      </w: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 комплекс «Школа России»:</w:t>
      </w:r>
    </w:p>
    <w:p>
      <w:pPr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Математика 1 класс Учебник для общеобразовательных организаций в 2 частях М. И. Моро и др.;</w:t>
      </w:r>
    </w:p>
    <w:p>
      <w:pPr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Математика Рабочая тетрадь 1 класс Учебное пособие для общеобразовательных организаций в 2 частях; </w:t>
      </w:r>
    </w:p>
    <w:p>
      <w:pPr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Проверочные работы 1 класс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М. И. Моро, С. И. Волкова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Математика 2 класс Учебник для общеобразовательных организаций в 2 частях М. И. Моро и др.;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Математика Рабочая тетрадь 2 класс Учебное пособие для общеобразовательных организаций в 2 частях М. И. Моро, С. И. Волкова.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Проверочные работы 2 класс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М. И. Моро, С. И. Волкова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Математика 3 класс Учебник для общеобразовательных организаций в 2 частях М. И. Моро и др.;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Рабочая тетрадь Математика 3 класс Учебное пособие для общеобразовательных организаций в 2 частях М. И. Моро, С. И. Волкова.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Проверочные работы 3 класс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М. И. Моро, С. И. Волкова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Математика 4 класс Учебник для общеобразовательных организаций в 2 частях М. И. Моро и др.;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Математика Рабочая тетрадь 4 класс Учебное пособие для общеобразовательных организаций в 2 частях М. И. Моро, С. И. Волкова.</w:t>
      </w:r>
    </w:p>
    <w:p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Проверочные работы 4 класс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М. И. Моро, С. И. Волкова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пояснительная записка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изучение математики в 1 классе отводится — 132 ч (4 ч в неделю, 33 учебные недели)</w:t>
      </w:r>
    </w:p>
    <w:p>
      <w:pPr>
        <w:widowControl w:val="0"/>
        <w:spacing w:after="0" w:line="240" w:lineRule="auto"/>
        <w:ind w:firstLine="540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 w:bidi="ru-RU"/>
        </w:rPr>
        <w:t>Личностные результаты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Calibri" w:cs="Times New Roman"/>
          <w:b/>
          <w:color w:val="231F20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i/>
          <w:color w:val="000000"/>
          <w:sz w:val="24"/>
          <w:szCs w:val="24"/>
        </w:rPr>
        <w:t>гражданско-патриотического воспитания: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применять</w:t>
      </w:r>
      <w:r>
        <w:rPr>
          <w:rFonts w:hint="default" w:ascii="Times New Roman" w:hAnsi="Times New Roman" w:eastAsia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правила</w:t>
      </w:r>
      <w:r>
        <w:rPr>
          <w:rFonts w:hint="default" w:ascii="Times New Roman" w:hAnsi="Times New Roman" w:eastAsia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совместной</w:t>
      </w:r>
      <w:r>
        <w:rPr>
          <w:rFonts w:hint="default" w:ascii="Times New Roman" w:hAnsi="Times New Roman" w:eastAsia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деятельности</w:t>
      </w:r>
      <w:r>
        <w:rPr>
          <w:rFonts w:hint="default" w:ascii="Times New Roman" w:hAnsi="Times New Roman" w:eastAsia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со</w:t>
      </w:r>
      <w:r>
        <w:rPr>
          <w:rFonts w:hint="default" w:ascii="Times New Roman" w:hAnsi="Times New Roman" w:eastAsia="Times New Roman" w:cs="Times New Roman"/>
          <w:color w:val="231F20"/>
          <w:spacing w:val="-1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сверстника</w:t>
      </w:r>
      <w:r>
        <w:rPr>
          <w:rFonts w:hint="default" w:ascii="Times New Roman" w:hAnsi="Times New Roman" w:eastAsia="Times New Roman" w:cs="Times New Roman"/>
          <w:color w:val="231F20"/>
          <w:w w:val="95"/>
          <w:sz w:val="24"/>
          <w:szCs w:val="24"/>
          <w:lang w:eastAsia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ективно оценивать свой вклад в общий результат;</w:t>
      </w:r>
    </w:p>
    <w:p>
      <w:pPr>
        <w:spacing w:after="0" w:line="240" w:lineRule="auto"/>
        <w:ind w:hanging="227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/>
          <w:color w:val="231F20"/>
          <w:sz w:val="24"/>
          <w:szCs w:val="24"/>
          <w:lang w:eastAsia="ru-RU"/>
        </w:rPr>
        <w:t>д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уховно-нравственного воспитания: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эстетического воспитания:</w:t>
      </w:r>
    </w:p>
    <w:p>
      <w:pPr>
        <w:numPr>
          <w:ilvl w:val="0"/>
          <w:numId w:val="6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осваивать навыки организации безопасного поведения в информационной среде</w:t>
      </w:r>
    </w:p>
    <w:p>
      <w:pPr>
        <w:spacing w:after="0" w:line="240" w:lineRule="auto"/>
        <w:ind w:hanging="227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трудового воспитания:</w:t>
      </w:r>
    </w:p>
    <w:p>
      <w:pPr>
        <w:numPr>
          <w:ilvl w:val="0"/>
          <w:numId w:val="8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работать</w:t>
      </w:r>
      <w:r>
        <w:rPr>
          <w:rFonts w:hint="default" w:ascii="Times New Roman" w:hAnsi="Times New Roman" w:eastAsia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в</w:t>
      </w:r>
      <w:r>
        <w:rPr>
          <w:rFonts w:hint="default" w:ascii="Times New Roman" w:hAnsi="Times New Roman" w:eastAsia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ситуациях,</w:t>
      </w:r>
      <w:r>
        <w:rPr>
          <w:rFonts w:hint="default" w:ascii="Times New Roman" w:hAnsi="Times New Roman" w:eastAsia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расширяющих</w:t>
      </w:r>
      <w:r>
        <w:rPr>
          <w:rFonts w:hint="default" w:ascii="Times New Roman" w:hAnsi="Times New Roman" w:eastAsia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опыт</w:t>
      </w:r>
      <w:r>
        <w:rPr>
          <w:rFonts w:hint="default" w:ascii="Times New Roman" w:hAnsi="Times New Roman" w:eastAsia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применения</w:t>
      </w:r>
      <w:r>
        <w:rPr>
          <w:rFonts w:hint="default" w:ascii="Times New Roman" w:hAnsi="Times New Roman" w:eastAsia="Times New Roman" w:cs="Times New Roman"/>
          <w:color w:val="231F20"/>
          <w:spacing w:val="-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математических отношений в реальной жизни, повышающих интерес</w:t>
      </w:r>
      <w:r>
        <w:rPr>
          <w:rFonts w:hint="default" w:ascii="Times New Roman" w:hAnsi="Times New Roman" w:eastAsia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интеллектуальному</w:t>
      </w:r>
      <w:r>
        <w:rPr>
          <w:rFonts w:hint="default" w:ascii="Times New Roman" w:hAnsi="Times New Roman" w:eastAsia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труду</w:t>
      </w:r>
      <w:r>
        <w:rPr>
          <w:rFonts w:hint="default" w:ascii="Times New Roman" w:hAnsi="Times New Roman" w:eastAsia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и</w:t>
      </w:r>
      <w:r>
        <w:rPr>
          <w:rFonts w:hint="default" w:ascii="Times New Roman" w:hAnsi="Times New Roman" w:eastAsia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уверенность</w:t>
      </w:r>
      <w:r>
        <w:rPr>
          <w:rFonts w:hint="default" w:ascii="Times New Roman" w:hAnsi="Times New Roman" w:eastAsia="Times New Roman" w:cs="Times New Roman"/>
          <w:color w:val="231F20"/>
          <w:spacing w:val="-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своих</w:t>
      </w:r>
      <w:r>
        <w:rPr>
          <w:rFonts w:hint="default" w:ascii="Times New Roman" w:hAnsi="Times New Roman" w:eastAsia="Times New Roman" w:cs="Times New Roman"/>
          <w:color w:val="231F20"/>
          <w:spacing w:val="-7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pacing w:val="-5"/>
          <w:sz w:val="24"/>
          <w:szCs w:val="24"/>
          <w:lang w:eastAsia="ru-RU"/>
        </w:rPr>
        <w:t xml:space="preserve">   си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лах</w:t>
      </w:r>
      <w:r>
        <w:rPr>
          <w:rFonts w:hint="default" w:ascii="Times New Roman" w:hAnsi="Times New Roman" w:eastAsia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при</w:t>
      </w:r>
      <w:r>
        <w:rPr>
          <w:rFonts w:hint="default" w:ascii="Times New Roman" w:hAnsi="Times New Roman" w:eastAsia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решении</w:t>
      </w:r>
      <w:r>
        <w:rPr>
          <w:rFonts w:hint="default" w:ascii="Times New Roman" w:hAnsi="Times New Roman" w:eastAsia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поставленных</w:t>
      </w:r>
      <w:r>
        <w:rPr>
          <w:rFonts w:hint="default" w:ascii="Times New Roman" w:hAnsi="Times New Roman" w:eastAsia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задач,</w:t>
      </w:r>
      <w:r>
        <w:rPr>
          <w:rFonts w:hint="default" w:ascii="Times New Roman" w:hAnsi="Times New Roman" w:eastAsia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умение</w:t>
      </w:r>
      <w:r>
        <w:rPr>
          <w:rFonts w:hint="default" w:ascii="Times New Roman" w:hAnsi="Times New Roman" w:eastAsia="Times New Roman" w:cs="Times New Roman"/>
          <w:color w:val="231F20"/>
          <w:spacing w:val="-11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 xml:space="preserve">преодолевать </w:t>
      </w:r>
      <w:r>
        <w:rPr>
          <w:rFonts w:hint="default" w:ascii="Times New Roman" w:hAnsi="Times New Roman" w:eastAsia="Times New Roman" w:cs="Times New Roman"/>
          <w:color w:val="231F20"/>
          <w:spacing w:val="-2"/>
          <w:sz w:val="24"/>
          <w:szCs w:val="24"/>
          <w:lang w:eastAsia="ru-RU"/>
        </w:rPr>
        <w:t>трудности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экологического воспитания: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формировать у школьников экологическую культуру, которая складывается из ответственного отношения к природе (экология природы), к окружающему миру, к себе как составной части природы</w:t>
      </w:r>
    </w:p>
    <w:p>
      <w:pPr>
        <w:numPr>
          <w:ilvl w:val="0"/>
          <w:numId w:val="9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расширять представление детей об окружающем мире, показывать необходимость заботливого отношения человека к окружающей среде, рассматривать интересные данные о живой и неживой природе, о том, как деятельность человека влияет на окружающую среду</w:t>
      </w:r>
    </w:p>
    <w:p>
      <w:pPr>
        <w:spacing w:after="0" w:line="240" w:lineRule="auto"/>
        <w:jc w:val="both"/>
        <w:rPr>
          <w:rFonts w:hint="default" w:ascii="Times New Roman" w:hAnsi="Times New Roman" w:eastAsia="Calibr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ценности научного познания: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231F2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>
      <w:pPr>
        <w:widowControl w:val="0"/>
        <w:spacing w:after="0" w:line="240" w:lineRule="auto"/>
        <w:ind w:firstLine="709"/>
        <w:jc w:val="center"/>
        <w:rPr>
          <w:rFonts w:hint="default" w:ascii="Times New Roman" w:hAnsi="Times New Roman" w:eastAsia="Arial Unicode MS" w:cs="Times New Roman"/>
          <w:b/>
          <w:color w:val="000000"/>
          <w:sz w:val="24"/>
          <w:szCs w:val="24"/>
          <w:lang w:eastAsia="ru-RU" w:bidi="ru-RU"/>
        </w:rPr>
      </w:pPr>
    </w:p>
    <w:p>
      <w:pPr>
        <w:widowControl w:val="0"/>
        <w:spacing w:after="0" w:line="240" w:lineRule="auto"/>
        <w:ind w:firstLine="709"/>
        <w:jc w:val="center"/>
        <w:rPr>
          <w:rFonts w:hint="default" w:ascii="Times New Roman" w:hAnsi="Times New Roman" w:eastAsia="Arial Unicode MS" w:cs="Times New Roman"/>
          <w:b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b/>
          <w:color w:val="000000"/>
          <w:sz w:val="24"/>
          <w:szCs w:val="24"/>
          <w:lang w:eastAsia="ru-RU" w:bidi="ru-RU"/>
        </w:rPr>
        <w:t>Метапредметные результаты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Универсальные познавательные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логические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исследовательские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Работа с информацией: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Универсальные коммуникативные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—комментировать процесс вычисления, построения, решения;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—самостоятельно составлять тексты заданий, аналогичные типовым изученным.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Универсальные регулятивные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Самоорганизация: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Самоконтроль: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—выбирать и при необходимости корректировать способы действий;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Самооценка: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Совместная деятельность: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>
      <w:pPr>
        <w:widowControl w:val="0"/>
        <w:spacing w:after="0" w:line="240" w:lineRule="auto"/>
        <w:ind w:firstLine="709"/>
        <w:jc w:val="center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b/>
          <w:color w:val="000000"/>
          <w:sz w:val="24"/>
          <w:szCs w:val="24"/>
          <w:lang w:eastAsia="ru-RU" w:bidi="ru-RU"/>
        </w:rPr>
        <w:t>Предметные результаты</w:t>
      </w:r>
    </w:p>
    <w:p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сформированность системы знаний о числе как результате счета и измерения, о десятичном принципе записи чисел;</w:t>
      </w:r>
    </w:p>
    <w:p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>
      <w:pPr>
        <w:widowControl w:val="0"/>
        <w:spacing w:after="0" w:line="240" w:lineRule="auto"/>
        <w:ind w:firstLine="400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u w:val="single"/>
          <w:lang w:eastAsia="ru-RU" w:bidi="ru-RU"/>
        </w:rPr>
        <w:t>овладение элементами математической речи</w:t>
      </w: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 xml:space="preserve">: </w:t>
      </w:r>
    </w:p>
    <w:p>
      <w:pPr>
        <w:widowControl w:val="0"/>
        <w:spacing w:after="0" w:line="240" w:lineRule="auto"/>
        <w:ind w:firstLine="400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- умения формулировать утверждение (вывод, правило), строить логические рассуждения (одно- двухшаговые) с использованием связок «если . . . , то . . .», «и», «все», «некоторые»;</w:t>
      </w:r>
    </w:p>
    <w:p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>
      <w:pPr>
        <w:widowControl w:val="0"/>
        <w:spacing w:after="0" w:line="240" w:lineRule="auto"/>
        <w:ind w:firstLine="400"/>
        <w:contextualSpacing/>
        <w:jc w:val="both"/>
        <w:rPr>
          <w:rFonts w:hint="default" w:ascii="Times New Roman" w:hAnsi="Times New Roman" w:eastAsia="Arial Unicode MS" w:cs="Times New Roman"/>
          <w:color w:val="000000"/>
          <w:sz w:val="24"/>
          <w:szCs w:val="24"/>
          <w:lang w:eastAsia="ru-RU" w:bidi="ru-RU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0696"/>
    <w:multiLevelType w:val="multilevel"/>
    <w:tmpl w:val="1BFA0696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1F479E"/>
    <w:multiLevelType w:val="multilevel"/>
    <w:tmpl w:val="1E1F479E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3750418"/>
    <w:multiLevelType w:val="multilevel"/>
    <w:tmpl w:val="23750418"/>
    <w:lvl w:ilvl="0" w:tentative="0">
      <w:start w:val="1"/>
      <w:numFmt w:val="decimal"/>
      <w:lvlText w:val="%1)"/>
      <w:lvlJc w:val="left"/>
      <w:pPr>
        <w:ind w:left="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2CD50FEA"/>
    <w:multiLevelType w:val="multilevel"/>
    <w:tmpl w:val="2CD50F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7E472B4"/>
    <w:multiLevelType w:val="multilevel"/>
    <w:tmpl w:val="37E472B4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1784A5F"/>
    <w:multiLevelType w:val="multilevel"/>
    <w:tmpl w:val="41784A5F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2ED4402"/>
    <w:multiLevelType w:val="multilevel"/>
    <w:tmpl w:val="42ED4402"/>
    <w:lvl w:ilvl="0" w:tentative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7F67EEC"/>
    <w:multiLevelType w:val="multilevel"/>
    <w:tmpl w:val="47F67EEC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80774EB"/>
    <w:multiLevelType w:val="multilevel"/>
    <w:tmpl w:val="480774EB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DC66704"/>
    <w:multiLevelType w:val="multilevel"/>
    <w:tmpl w:val="4DC66704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B3E3E81"/>
    <w:multiLevelType w:val="multilevel"/>
    <w:tmpl w:val="7B3E3E8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29B5"/>
    <w:rsid w:val="001C4729"/>
    <w:rsid w:val="001E6C62"/>
    <w:rsid w:val="002046EF"/>
    <w:rsid w:val="00262ED9"/>
    <w:rsid w:val="002A0CFC"/>
    <w:rsid w:val="002A7F3B"/>
    <w:rsid w:val="002B7AAF"/>
    <w:rsid w:val="003929BC"/>
    <w:rsid w:val="00725002"/>
    <w:rsid w:val="0076707C"/>
    <w:rsid w:val="00793926"/>
    <w:rsid w:val="008A48BC"/>
    <w:rsid w:val="0097137B"/>
    <w:rsid w:val="009E79FE"/>
    <w:rsid w:val="00DF5DF9"/>
    <w:rsid w:val="00E6725F"/>
    <w:rsid w:val="00F46BCD"/>
    <w:rsid w:val="19C90F18"/>
    <w:rsid w:val="621139FE"/>
    <w:rsid w:val="6B3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Astra Serif" w:hAnsi="PT Astra Serif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2012</Words>
  <Characters>11470</Characters>
  <Lines>95</Lines>
  <Paragraphs>26</Paragraphs>
  <TotalTime>2</TotalTime>
  <ScaleCrop>false</ScaleCrop>
  <LinksUpToDate>false</LinksUpToDate>
  <CharactersWithSpaces>13456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2020-12-07T06:18:00Z</dcterms:created>
  <dc:creator>Anjela Kostogriz</dc:creator>
  <cp:lastModifiedBy>User</cp:lastModifiedBy>
  <dcterms:modified xsi:type="dcterms:W3CDTF">2022-09-22T17:14:02Z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AB75FC283588445384C6E8D8B42F2C63</vt:lpwstr>
  </property>
</Properties>
</file>